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8B0B" w14:textId="1A354979" w:rsidR="00017DBE" w:rsidRDefault="00017DBE" w:rsidP="00017DB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FF4081F" wp14:editId="5A055907">
            <wp:extent cx="944880" cy="1170305"/>
            <wp:effectExtent l="0" t="0" r="7620" b="0"/>
            <wp:docPr id="6309731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4B4A43" w14:textId="239B2CC9" w:rsidR="00017DBE" w:rsidRPr="00B5621B" w:rsidRDefault="00017DBE" w:rsidP="00017DBE">
      <w:pPr>
        <w:jc w:val="center"/>
        <w:rPr>
          <w:rFonts w:ascii="Aptos" w:hAnsi="Aptos"/>
          <w:b/>
          <w:bCs/>
          <w:sz w:val="22"/>
          <w:szCs w:val="22"/>
        </w:rPr>
      </w:pPr>
      <w:r w:rsidRPr="00B5621B">
        <w:rPr>
          <w:rFonts w:ascii="Aptos" w:hAnsi="Aptos"/>
          <w:b/>
          <w:bCs/>
          <w:sz w:val="22"/>
          <w:szCs w:val="22"/>
        </w:rPr>
        <w:t>ESCLARECIMENTO (1)</w:t>
      </w:r>
    </w:p>
    <w:p w14:paraId="32981158" w14:textId="77777777" w:rsidR="00017DBE" w:rsidRPr="00B5621B" w:rsidRDefault="00017DBE" w:rsidP="00017DBE">
      <w:pPr>
        <w:rPr>
          <w:rFonts w:ascii="Aptos" w:hAnsi="Aptos"/>
          <w:sz w:val="22"/>
          <w:szCs w:val="22"/>
        </w:rPr>
      </w:pPr>
    </w:p>
    <w:p w14:paraId="7E81CE03" w14:textId="5CEE1BD0" w:rsidR="00017DBE" w:rsidRPr="001C5452" w:rsidRDefault="00017DBE" w:rsidP="009805F1">
      <w:pPr>
        <w:jc w:val="both"/>
        <w:rPr>
          <w:rFonts w:cstheme="minorHAnsi"/>
        </w:rPr>
      </w:pPr>
      <w:r w:rsidRPr="001C5452">
        <w:rPr>
          <w:rFonts w:cstheme="minorHAnsi"/>
        </w:rPr>
        <w:t>Refere-se a solicitação de esclarecimento ao PE 900</w:t>
      </w:r>
      <w:r w:rsidR="00B5621B" w:rsidRPr="001C5452">
        <w:rPr>
          <w:rFonts w:cstheme="minorHAnsi"/>
        </w:rPr>
        <w:t>0</w:t>
      </w:r>
      <w:r w:rsidR="00450823" w:rsidRPr="001C5452">
        <w:rPr>
          <w:rFonts w:cstheme="minorHAnsi"/>
        </w:rPr>
        <w:t>6</w:t>
      </w:r>
      <w:r w:rsidRPr="001C5452">
        <w:rPr>
          <w:rFonts w:cstheme="minorHAnsi"/>
        </w:rPr>
        <w:t>/202</w:t>
      </w:r>
      <w:r w:rsidR="00B5621B" w:rsidRPr="001C5452">
        <w:rPr>
          <w:rFonts w:cstheme="minorHAnsi"/>
        </w:rPr>
        <w:t>6</w:t>
      </w:r>
      <w:r w:rsidRPr="001C5452">
        <w:rPr>
          <w:rFonts w:cstheme="minorHAnsi"/>
        </w:rPr>
        <w:t>:</w:t>
      </w:r>
    </w:p>
    <w:p w14:paraId="4200B4F7" w14:textId="77777777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t>1 – Pedido de Esclarecimentos, conforme detalhado abaixo.</w:t>
      </w:r>
    </w:p>
    <w:p w14:paraId="302B2E2A" w14:textId="6A3030F2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b/>
          <w:bCs/>
          <w:color w:val="242424"/>
        </w:rPr>
        <w:t>VER RESPOSTAS NOS ITENS ABAIXO</w:t>
      </w:r>
      <w:r>
        <w:rPr>
          <w:rFonts w:asciiTheme="minorHAnsi" w:hAnsiTheme="minorHAnsi" w:cstheme="minorHAnsi"/>
          <w:b/>
          <w:bCs/>
          <w:color w:val="242424"/>
        </w:rPr>
        <w:t>:</w:t>
      </w:r>
    </w:p>
    <w:p w14:paraId="0396D136" w14:textId="77777777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t>2 - A cópia do</w:t>
      </w:r>
      <w:r w:rsidRPr="00450823">
        <w:rPr>
          <w:rFonts w:asciiTheme="minorHAnsi" w:hAnsiTheme="minorHAnsi" w:cstheme="minorHAnsi"/>
          <w:b/>
          <w:bCs/>
          <w:color w:val="242424"/>
        </w:rPr>
        <w:t> </w:t>
      </w:r>
      <w:r w:rsidRPr="00450823">
        <w:rPr>
          <w:rFonts w:asciiTheme="minorHAnsi" w:hAnsiTheme="minorHAnsi" w:cstheme="minorHAnsi"/>
          <w:color w:val="242424"/>
        </w:rPr>
        <w:t>Estudo Técnico Preliminar (ETP) referente ao edital supramencionado.</w:t>
      </w:r>
    </w:p>
    <w:p w14:paraId="4BE4B0D3" w14:textId="2F2F1F51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b/>
          <w:bCs/>
          <w:color w:val="242424"/>
        </w:rPr>
        <w:t xml:space="preserve">Resposta: </w:t>
      </w:r>
      <w:r w:rsidRPr="00450823">
        <w:rPr>
          <w:rFonts w:asciiTheme="minorHAnsi" w:hAnsiTheme="minorHAnsi" w:cstheme="minorHAnsi"/>
          <w:color w:val="242424"/>
        </w:rPr>
        <w:t>Esclarecemos que o referido documento não compõe o rol de anexos do edital, não havendo, nos termos da sistemática da Lei nº 14.133/2021, obrigatoriedade de sua juntada ao instrumento convocatório. A própria lei prevê regime específico para a divulgação dos documentos da fase preparatória que não tenham integrado o edital e seus anexos, após a homologação.</w:t>
      </w:r>
    </w:p>
    <w:p w14:paraId="1F606EF0" w14:textId="77777777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t>Ressalta-se, ainda, que todas as informações necessárias à compreensão do objeto, à formulação da proposta e à participação na etapa competitiva já se encontram refletidas no Edital e no Termo de Referência, que são os documentos vinculantes da presente fase externa.</w:t>
      </w:r>
    </w:p>
    <w:p w14:paraId="518CB053" w14:textId="77777777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t>A disponibilização integral do ETP, neste momento, alcançaria conteúdos internos de planejamento não necessários à elaboração da proposta nem à fase de lances, tais como análises de alternativas consideradas e não adotadas, premissas internas de dimensionamento, registros preparatórios, avaliações de riscos e demais elementos técnicos que não foram incorporados como regra editalícia ou obrigação contratual.</w:t>
      </w:r>
    </w:p>
    <w:p w14:paraId="1D553067" w14:textId="77777777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t>Trata-se, portanto, de conteúdo sem utilidade prática para a disputa, cuja divulgação antecipada pode gerar interpretações dissociadas dos documentos que regem o certame, além de expor registros internos de planejamento sem repercussão direta na formulação das propostas.</w:t>
      </w:r>
    </w:p>
    <w:p w14:paraId="682EA77F" w14:textId="77777777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t>Dessa forma, não se mostra cabível, neste momento, a disponibilização integral do ETP, uma vez que:</w:t>
      </w:r>
    </w:p>
    <w:p w14:paraId="60DCA94C" w14:textId="77777777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t>(i) o documento não integra os anexos do edital;</w:t>
      </w:r>
    </w:p>
    <w:p w14:paraId="0C57B39C" w14:textId="77777777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t>(</w:t>
      </w:r>
      <w:proofErr w:type="spellStart"/>
      <w:r w:rsidRPr="00450823">
        <w:rPr>
          <w:rFonts w:asciiTheme="minorHAnsi" w:hAnsiTheme="minorHAnsi" w:cstheme="minorHAnsi"/>
          <w:color w:val="242424"/>
        </w:rPr>
        <w:t>ii</w:t>
      </w:r>
      <w:proofErr w:type="spellEnd"/>
      <w:r w:rsidRPr="00450823">
        <w:rPr>
          <w:rFonts w:asciiTheme="minorHAnsi" w:hAnsiTheme="minorHAnsi" w:cstheme="minorHAnsi"/>
          <w:color w:val="242424"/>
        </w:rPr>
        <w:t>) as informações relevantes ao certame já constam do Edital e do Termo de Referência; e</w:t>
      </w:r>
    </w:p>
    <w:p w14:paraId="1B9229D6" w14:textId="77777777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lastRenderedPageBreak/>
        <w:t>(</w:t>
      </w:r>
      <w:proofErr w:type="spellStart"/>
      <w:r w:rsidRPr="00450823">
        <w:rPr>
          <w:rFonts w:asciiTheme="minorHAnsi" w:hAnsiTheme="minorHAnsi" w:cstheme="minorHAnsi"/>
          <w:color w:val="242424"/>
        </w:rPr>
        <w:t>iii</w:t>
      </w:r>
      <w:proofErr w:type="spellEnd"/>
      <w:r w:rsidRPr="00450823">
        <w:rPr>
          <w:rFonts w:asciiTheme="minorHAnsi" w:hAnsiTheme="minorHAnsi" w:cstheme="minorHAnsi"/>
          <w:color w:val="242424"/>
        </w:rPr>
        <w:t>) o acesso integral alcançaria conteúdo interno não necessário à etapa competitiva.</w:t>
      </w:r>
    </w:p>
    <w:p w14:paraId="46D9FE48" w14:textId="77777777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t>Ressalta-se, por fim, que a Administração observa o regime de publicidade previsto na legislação aplicável, inclusive quanto à disponibilização dos documentos da fase preparatória que não tenham integrado o edital e seus anexos, na forma do art. 54, § 3º, da Lei nº 14.133/2021.</w:t>
      </w:r>
    </w:p>
    <w:p w14:paraId="31C7AD3B" w14:textId="77777777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t>Conforme o item 10 do edital, vimos, mui respeitosamente, apresentar os seguintes questionamentos em face do edital referido acima.</w:t>
      </w:r>
    </w:p>
    <w:p w14:paraId="544D8673" w14:textId="3DD13DEF" w:rsidR="00450823" w:rsidRPr="00450823" w:rsidRDefault="00450823" w:rsidP="001C5452">
      <w:pPr>
        <w:pStyle w:val="NormalWeb"/>
        <w:numPr>
          <w:ilvl w:val="0"/>
          <w:numId w:val="2"/>
        </w:numPr>
        <w:tabs>
          <w:tab w:val="clear" w:pos="720"/>
        </w:tabs>
        <w:spacing w:before="0"/>
        <w:ind w:left="0" w:hanging="11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t>Tendo em vista que o Edital discorre por diversas vezes sobre a complexidade do objeto da licitação e o porte do Município de Niterói, inclusive com justificativas para a vedação da participação de cooperativas e pessoas físicas, vejamos:</w:t>
      </w:r>
    </w:p>
    <w:p w14:paraId="3D2BD7B3" w14:textId="77777777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t>“9.10.2.6. Dado o valor estimado superior a 20 milhões de reais, trata-se de uma contratação de alto impacto financeiro, o que exige garantias robustas de qualidade, eficiência e cumprimento dos compromissos contratuais. </w:t>
      </w:r>
      <w:r w:rsidRPr="00450823">
        <w:rPr>
          <w:rFonts w:asciiTheme="minorHAnsi" w:hAnsiTheme="minorHAnsi" w:cstheme="minorHAnsi"/>
          <w:b/>
          <w:bCs/>
          <w:color w:val="242424"/>
        </w:rPr>
        <w:t>A escolha de fornecedores deve priorizar empresas que possam assumir integralmente a responsabilidade pela entrega dos serviços, mitigando riscos operacionais e jurídicos</w:t>
      </w:r>
      <w:r w:rsidRPr="00450823">
        <w:rPr>
          <w:rFonts w:asciiTheme="minorHAnsi" w:hAnsiTheme="minorHAnsi" w:cstheme="minorHAnsi"/>
          <w:color w:val="242424"/>
        </w:rPr>
        <w:t>.</w:t>
      </w:r>
    </w:p>
    <w:p w14:paraId="55FEB369" w14:textId="77777777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t>9.10.1.1.5. Dada a abrangência e criticidade do sistema, </w:t>
      </w:r>
      <w:r w:rsidRPr="00450823">
        <w:rPr>
          <w:rFonts w:asciiTheme="minorHAnsi" w:hAnsiTheme="minorHAnsi" w:cstheme="minorHAnsi"/>
          <w:b/>
          <w:bCs/>
          <w:color w:val="242424"/>
        </w:rPr>
        <w:t>qualquer falha ou interrupção na prestação dos serviços poderá acarretar prejuízos financeiros, administrativos e jurídicos irreparáveis ao Município.</w:t>
      </w:r>
    </w:p>
    <w:p w14:paraId="2735A4A1" w14:textId="77777777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t>9.10.1.2.2. A interrupção da operação do sistema estruturante pode resultar em </w:t>
      </w:r>
      <w:r w:rsidRPr="00450823">
        <w:rPr>
          <w:rFonts w:asciiTheme="minorHAnsi" w:hAnsiTheme="minorHAnsi" w:cstheme="minorHAnsi"/>
          <w:b/>
          <w:bCs/>
          <w:color w:val="242424"/>
        </w:rPr>
        <w:t>atraso na folha de pagamento dos servidores municipais, configurando violação a direitos trabalhistas e possíveis passivos judiciais, incluindo ações indenizatórias e administrativas contra o Município.</w:t>
      </w:r>
    </w:p>
    <w:p w14:paraId="4FF97407" w14:textId="77777777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t>9.10.1.2.3. O sistema gerencia os módulos de tributação e recolhimento de impostos municipais. Qualquer falha decorrente de má prestação de serviços </w:t>
      </w:r>
      <w:r w:rsidRPr="00450823">
        <w:rPr>
          <w:rFonts w:asciiTheme="minorHAnsi" w:hAnsiTheme="minorHAnsi" w:cstheme="minorHAnsi"/>
          <w:b/>
          <w:bCs/>
          <w:color w:val="242424"/>
        </w:rPr>
        <w:t>poderá comprometer a arrecadação, impactando diretamente o equilíbrio fiscal e o cumprimento das metas da Lei de Responsabilidade Fiscal (LRF).</w:t>
      </w:r>
    </w:p>
    <w:p w14:paraId="2FE50B95" w14:textId="77777777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t>9.10.1.3.2. Dessa forma, diante da complexidade técnica, risco operacional e impactos jurídicos e financeiros associados à execução deste contrato, justifica-se a exclusão de pessoas físicas do certame, </w:t>
      </w:r>
      <w:r w:rsidRPr="00450823">
        <w:rPr>
          <w:rFonts w:asciiTheme="minorHAnsi" w:hAnsiTheme="minorHAnsi" w:cstheme="minorHAnsi"/>
          <w:b/>
          <w:bCs/>
          <w:color w:val="242424"/>
        </w:rPr>
        <w:t>sendo recomendada a contratação exclusiva de pessoas jurídicas especializadas, capazes de atender aos requisitos de segurança, continuidade e eficiência do serviço público municipal. Grifo nosso. “</w:t>
      </w:r>
    </w:p>
    <w:p w14:paraId="16D8AC13" w14:textId="05A73CA4" w:rsidR="00450823" w:rsidRPr="00450823" w:rsidRDefault="00450823" w:rsidP="001C5452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b/>
          <w:bCs/>
          <w:color w:val="242424"/>
        </w:rPr>
        <w:t> </w:t>
      </w:r>
      <w:r w:rsidRPr="00450823">
        <w:rPr>
          <w:rFonts w:asciiTheme="minorHAnsi" w:hAnsiTheme="minorHAnsi" w:cstheme="minorHAnsi"/>
          <w:color w:val="242424"/>
        </w:rPr>
        <w:t xml:space="preserve">1 – Logo, diante de todos esses riscos evidenciados pela própria Administração, </w:t>
      </w:r>
      <w:proofErr w:type="gramStart"/>
      <w:r w:rsidRPr="00450823">
        <w:rPr>
          <w:rFonts w:asciiTheme="minorHAnsi" w:hAnsiTheme="minorHAnsi" w:cstheme="minorHAnsi"/>
          <w:color w:val="242424"/>
        </w:rPr>
        <w:t>Questionamos</w:t>
      </w:r>
      <w:proofErr w:type="gramEnd"/>
      <w:r w:rsidRPr="00450823">
        <w:rPr>
          <w:rFonts w:asciiTheme="minorHAnsi" w:hAnsiTheme="minorHAnsi" w:cstheme="minorHAnsi"/>
          <w:color w:val="242424"/>
        </w:rPr>
        <w:t xml:space="preserve"> o porquê de não ter sido exigido no Edital a Garantia de Proposta e a Prova de Conceito (POC), ferramentas para assegurar a participação de empresas robustas e de fato especializadas no sistema e-cidade e assim mitigar o risco de participação de “aventureiros”. Sendo que a Garantia de Proposta e a Prova de </w:t>
      </w:r>
      <w:proofErr w:type="gramStart"/>
      <w:r w:rsidRPr="00450823">
        <w:rPr>
          <w:rFonts w:asciiTheme="minorHAnsi" w:hAnsiTheme="minorHAnsi" w:cstheme="minorHAnsi"/>
          <w:color w:val="242424"/>
        </w:rPr>
        <w:t>Conceito(</w:t>
      </w:r>
      <w:proofErr w:type="gramEnd"/>
      <w:r w:rsidRPr="00450823">
        <w:rPr>
          <w:rFonts w:asciiTheme="minorHAnsi" w:hAnsiTheme="minorHAnsi" w:cstheme="minorHAnsi"/>
          <w:color w:val="242424"/>
        </w:rPr>
        <w:t xml:space="preserve">POC), têm sido utilizadas, inclusive, por municípios bem menores que Niterói. </w:t>
      </w:r>
      <w:proofErr w:type="gramStart"/>
      <w:r w:rsidRPr="00450823">
        <w:rPr>
          <w:rFonts w:asciiTheme="minorHAnsi" w:hAnsiTheme="minorHAnsi" w:cstheme="minorHAnsi"/>
          <w:color w:val="242424"/>
        </w:rPr>
        <w:t>Resumidamente :</w:t>
      </w:r>
      <w:proofErr w:type="gramEnd"/>
    </w:p>
    <w:p w14:paraId="114E02C3" w14:textId="7E6FA0E4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b/>
          <w:bCs/>
          <w:color w:val="242424"/>
        </w:rPr>
        <w:lastRenderedPageBreak/>
        <w:t xml:space="preserve">Resposta: </w:t>
      </w:r>
      <w:r w:rsidRPr="00450823">
        <w:rPr>
          <w:rFonts w:asciiTheme="minorHAnsi" w:hAnsiTheme="minorHAnsi" w:cstheme="minorHAnsi"/>
          <w:color w:val="242424"/>
        </w:rPr>
        <w:t>A exigência de garantia de proposta, prevista no art. 58 da Lei nº 14.133/2021, possui natureza facultativa, cabendo à Administração avaliar sua conveniência e</w:t>
      </w:r>
      <w:r>
        <w:rPr>
          <w:rFonts w:asciiTheme="minorHAnsi" w:hAnsiTheme="minorHAnsi" w:cstheme="minorHAnsi"/>
          <w:color w:val="242424"/>
        </w:rPr>
        <w:t xml:space="preserve"> </w:t>
      </w:r>
      <w:r w:rsidRPr="00450823">
        <w:rPr>
          <w:rFonts w:asciiTheme="minorHAnsi" w:hAnsiTheme="minorHAnsi" w:cstheme="minorHAnsi"/>
          <w:color w:val="242424"/>
        </w:rPr>
        <w:t>proporcionalidade em relação ao objeto.</w:t>
      </w:r>
      <w:r>
        <w:rPr>
          <w:rFonts w:asciiTheme="minorHAnsi" w:hAnsiTheme="minorHAnsi" w:cstheme="minorHAnsi"/>
          <w:color w:val="242424"/>
        </w:rPr>
        <w:t xml:space="preserve"> </w:t>
      </w:r>
      <w:r w:rsidRPr="00450823">
        <w:rPr>
          <w:rFonts w:asciiTheme="minorHAnsi" w:hAnsiTheme="minorHAnsi" w:cstheme="minorHAnsi"/>
          <w:color w:val="242424"/>
        </w:rPr>
        <w:t>No presente certame, a Administração optou, de forma motivada, por não exigir garantia de proposta, considerando que o Edital já contempla requisitos adequados de qualificação técnica, econômico</w:t>
      </w:r>
      <w:r w:rsidRPr="00450823">
        <w:rPr>
          <w:rFonts w:asciiTheme="minorHAnsi" w:hAnsiTheme="minorHAnsi" w:cstheme="minorHAnsi"/>
          <w:color w:val="242424"/>
        </w:rPr>
        <w:noBreakHyphen/>
        <w:t>financeira e operacional, bem como a previsão de garantia de execução contratual, nos termos do art. 96 da Lei nº 14.133/2021, instrumento suficiente para mitigação de riscos após a contratação.</w:t>
      </w:r>
    </w:p>
    <w:p w14:paraId="78CCB81C" w14:textId="77777777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t xml:space="preserve">Seguindo na mesma lógica, a Prova de Conceito (POC), conforme os </w:t>
      </w:r>
      <w:proofErr w:type="spellStart"/>
      <w:r w:rsidRPr="00450823">
        <w:rPr>
          <w:rFonts w:asciiTheme="minorHAnsi" w:hAnsiTheme="minorHAnsi" w:cstheme="minorHAnsi"/>
          <w:color w:val="242424"/>
        </w:rPr>
        <w:t>arts</w:t>
      </w:r>
      <w:proofErr w:type="spellEnd"/>
      <w:r w:rsidRPr="00450823">
        <w:rPr>
          <w:rFonts w:asciiTheme="minorHAnsi" w:hAnsiTheme="minorHAnsi" w:cstheme="minorHAnsi"/>
          <w:color w:val="242424"/>
        </w:rPr>
        <w:t>. 17, § 3º, e 41, inciso II, da Lei nº 14.133/2021, constitui faculdade da Administração, e não obrigação.</w:t>
      </w:r>
      <w:r w:rsidRPr="00450823">
        <w:rPr>
          <w:rFonts w:asciiTheme="minorHAnsi" w:hAnsiTheme="minorHAnsi" w:cstheme="minorHAnsi"/>
          <w:color w:val="242424"/>
        </w:rPr>
        <w:br/>
        <w:t>No caso concreto, entendeu</w:t>
      </w:r>
      <w:r w:rsidRPr="00450823">
        <w:rPr>
          <w:rFonts w:asciiTheme="minorHAnsi" w:hAnsiTheme="minorHAnsi" w:cstheme="minorHAnsi"/>
          <w:color w:val="242424"/>
        </w:rPr>
        <w:noBreakHyphen/>
        <w:t>se que a exigência de POC não se mostra necessária nem proporcional, tendo em vista que o objeto envolve a prestação de serviços continuados sobre sistema já implantado, customizado e em operação no Município, sendo a aptidão técnica das licitantes suficientemente aferida pelos requisitos de qualificação e pelos atestados técnicos previstos no Edital.</w:t>
      </w:r>
    </w:p>
    <w:p w14:paraId="3F0F2C8B" w14:textId="77777777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b/>
          <w:bCs/>
          <w:color w:val="242424"/>
        </w:rPr>
        <w:t>Da Garantia da Proposta - art. 58 da Lei nº 14.133, de 2021.</w:t>
      </w:r>
    </w:p>
    <w:p w14:paraId="442C9B46" w14:textId="77777777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t>A finalidade da garantia de proposta, ou da caução de participação, </w:t>
      </w:r>
      <w:r w:rsidRPr="00450823">
        <w:rPr>
          <w:rFonts w:asciiTheme="minorHAnsi" w:hAnsiTheme="minorHAnsi" w:cstheme="minorHAnsi"/>
          <w:b/>
          <w:bCs/>
          <w:color w:val="242424"/>
        </w:rPr>
        <w:t>é assegurar que os licitantes garantam suas propostas de preços</w:t>
      </w:r>
      <w:r w:rsidRPr="00450823">
        <w:rPr>
          <w:rFonts w:asciiTheme="minorHAnsi" w:hAnsiTheme="minorHAnsi" w:cstheme="minorHAnsi"/>
          <w:color w:val="242424"/>
        </w:rPr>
        <w:t> durante o procedimento licitatório, evitando a recusa injustificada em assinar a Ata de Registro de Preços ou contrato administrativo ou o recebimento da nota de empenho ou que deixe de apresentar os documentos necessários para formalização da contratação e </w:t>
      </w:r>
      <w:r w:rsidRPr="00450823">
        <w:rPr>
          <w:rFonts w:asciiTheme="minorHAnsi" w:hAnsiTheme="minorHAnsi" w:cstheme="minorHAnsi"/>
          <w:b/>
          <w:bCs/>
          <w:color w:val="242424"/>
        </w:rPr>
        <w:t>afastar licitantes despreparados, aventureiros e descompromissados</w:t>
      </w:r>
      <w:r w:rsidRPr="00450823">
        <w:rPr>
          <w:rFonts w:asciiTheme="minorHAnsi" w:hAnsiTheme="minorHAnsi" w:cstheme="minorHAnsi"/>
          <w:color w:val="242424"/>
        </w:rPr>
        <w:t>.</w:t>
      </w:r>
    </w:p>
    <w:p w14:paraId="0588A461" w14:textId="79CB37E0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b/>
          <w:bCs/>
          <w:color w:val="242424"/>
        </w:rPr>
        <w:t>Prova de Conceito (POC) -</w:t>
      </w:r>
      <w:r w:rsidRPr="00450823">
        <w:rPr>
          <w:rFonts w:asciiTheme="minorHAnsi" w:hAnsiTheme="minorHAnsi" w:cstheme="minorHAnsi"/>
          <w:color w:val="242424"/>
        </w:rPr>
        <w:t> </w:t>
      </w:r>
      <w:r w:rsidRPr="00450823">
        <w:rPr>
          <w:rFonts w:asciiTheme="minorHAnsi" w:hAnsiTheme="minorHAnsi" w:cstheme="minorHAnsi"/>
          <w:b/>
          <w:bCs/>
          <w:color w:val="242424"/>
        </w:rPr>
        <w:t>Lei nº 14.133/21, nos artigos os artigos 17, § 3º e o artigo 41, II</w:t>
      </w:r>
      <w:r w:rsidRPr="00450823">
        <w:rPr>
          <w:rFonts w:asciiTheme="minorHAnsi" w:hAnsiTheme="minorHAnsi" w:cstheme="minorHAnsi"/>
          <w:color w:val="242424"/>
        </w:rPr>
        <w:t xml:space="preserve"> - A instauração da prova de conceito no processo licitatório visa resguardar o interesse público e traz segurança na redução de riscos e maior probabilidade de êxito na execução do objeto licitado, além de assegurar ao licitante com melhor expertise que ele decerto será o vencedor do </w:t>
      </w:r>
      <w:r w:rsidRPr="00450823">
        <w:rPr>
          <w:rFonts w:asciiTheme="minorHAnsi" w:hAnsiTheme="minorHAnsi" w:cstheme="minorHAnsi"/>
        </w:rPr>
        <w:t>certame. ( </w:t>
      </w:r>
      <w:hyperlink r:id="rId6" w:tgtFrame="_blank" w:history="1">
        <w:r w:rsidRPr="00450823">
          <w:rPr>
            <w:rStyle w:val="Hyperlink"/>
            <w:rFonts w:asciiTheme="minorHAnsi" w:hAnsiTheme="minorHAnsi" w:cstheme="minorHAnsi"/>
            <w:color w:val="auto"/>
            <w:u w:val="none"/>
          </w:rPr>
          <w:t>https://www.conjur.com.br/2024-jan-15/prova-de-conceito-em-licitacoes-do-teorico-ao-factivel/</w:t>
        </w:r>
      </w:hyperlink>
      <w:r w:rsidRPr="00450823">
        <w:rPr>
          <w:rFonts w:asciiTheme="minorHAnsi" w:hAnsiTheme="minorHAnsi" w:cstheme="minorHAnsi"/>
        </w:rPr>
        <w:t>)</w:t>
      </w:r>
    </w:p>
    <w:p w14:paraId="0BF6466E" w14:textId="1DC3C0E1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t>Essas medidas visam preservar a integridade do processo licitatório e garantir a seriedade e o comprometimento dos licitantes, contribuindo para uma concorrência justa e isonômica. </w:t>
      </w:r>
    </w:p>
    <w:p w14:paraId="01F8AB9A" w14:textId="77777777" w:rsidR="00450823" w:rsidRPr="00450823" w:rsidRDefault="00450823" w:rsidP="00450823">
      <w:pPr>
        <w:pStyle w:val="NormalWeb"/>
        <w:numPr>
          <w:ilvl w:val="0"/>
          <w:numId w:val="4"/>
        </w:numPr>
        <w:tabs>
          <w:tab w:val="clear" w:pos="720"/>
        </w:tabs>
        <w:spacing w:before="0"/>
        <w:ind w:left="0" w:hanging="11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t xml:space="preserve">Nesse mesmo sentido, questionamos quais serão os critérios para avaliar os atestados de capacidade técnica dos licitantes (empresas) que não utilizam o modelo de Ponto de Função (PF)? Tendo em vista que o item 9.27.2.5 c/c com </w:t>
      </w:r>
      <w:proofErr w:type="gramStart"/>
      <w:r w:rsidRPr="00450823">
        <w:rPr>
          <w:rFonts w:asciiTheme="minorHAnsi" w:hAnsiTheme="minorHAnsi" w:cstheme="minorHAnsi"/>
          <w:color w:val="242424"/>
        </w:rPr>
        <w:t>o  item</w:t>
      </w:r>
      <w:proofErr w:type="gramEnd"/>
      <w:r w:rsidRPr="00450823">
        <w:rPr>
          <w:rFonts w:asciiTheme="minorHAnsi" w:hAnsiTheme="minorHAnsi" w:cstheme="minorHAnsi"/>
          <w:color w:val="242424"/>
        </w:rPr>
        <w:t xml:space="preserve"> 9.29, não são objetivos em relação a esse tema, sendo genéricos em todas as afirmações, o que poderá causar questionamentos, recursos, judicialização e por </w:t>
      </w:r>
      <w:proofErr w:type="gramStart"/>
      <w:r w:rsidRPr="00450823">
        <w:rPr>
          <w:rFonts w:asciiTheme="minorHAnsi" w:hAnsiTheme="minorHAnsi" w:cstheme="minorHAnsi"/>
          <w:color w:val="242424"/>
        </w:rPr>
        <w:t>conseguinte  atraso</w:t>
      </w:r>
      <w:proofErr w:type="gramEnd"/>
      <w:r w:rsidRPr="00450823">
        <w:rPr>
          <w:rFonts w:asciiTheme="minorHAnsi" w:hAnsiTheme="minorHAnsi" w:cstheme="minorHAnsi"/>
          <w:color w:val="242424"/>
        </w:rPr>
        <w:t xml:space="preserve"> na adjudicação e homologação do certame.</w:t>
      </w:r>
    </w:p>
    <w:p w14:paraId="3BDBEAEB" w14:textId="7D838D77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b/>
          <w:bCs/>
          <w:color w:val="242424"/>
        </w:rPr>
        <w:t xml:space="preserve">Resposta: </w:t>
      </w:r>
      <w:r w:rsidRPr="00450823">
        <w:rPr>
          <w:rFonts w:asciiTheme="minorHAnsi" w:hAnsiTheme="minorHAnsi" w:cstheme="minorHAnsi"/>
          <w:b/>
          <w:bCs/>
          <w:color w:val="242424"/>
        </w:rPr>
        <w:t xml:space="preserve">A comprovação da experiência poderá ser realizada por outras métricas de dimensionamento de projeto, desde que a documentação apresentada permita à equipe técnica da comissão de licitação aferir, com objetividade, que a experiência informada corresponde a projetos de porte equivalente ao exigido no edital. Assim, </w:t>
      </w:r>
      <w:r w:rsidRPr="00450823">
        <w:rPr>
          <w:rFonts w:asciiTheme="minorHAnsi" w:hAnsiTheme="minorHAnsi" w:cstheme="minorHAnsi"/>
          <w:b/>
          <w:bCs/>
          <w:color w:val="242424"/>
        </w:rPr>
        <w:lastRenderedPageBreak/>
        <w:t>os quantitativos em Pontos de Função presentes no edital funcionam como referência de escala, e não como forma exclusiva de mensuração. Caberá à análise técnica verificar, em cada caso, se a métrica alternativa adotada pela licitante demonstra, de modo suficiente, a compatibilidade da experiência apresentada com a dimensão mínima exigida para a função ou para o serviço correspondente.</w:t>
      </w:r>
    </w:p>
    <w:p w14:paraId="0DAF1C1E" w14:textId="77777777" w:rsidR="00450823" w:rsidRPr="00450823" w:rsidRDefault="00450823" w:rsidP="00450823">
      <w:pPr>
        <w:pStyle w:val="NormalWeb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t>9.27.2.5. Empresas que não utilizam o modelo de ponto de função (PF) poderão participar desde que comprovem experiência com contratos públicos. É necessário apresentar atestados de execução, para poder público, de contratos anteriores nos módulos de tributação, contabilidade/finanças, patrimônio e folha de pagamento, utilizando métodos alternativos de cálculo de custo, como linhas de código (SLOC), métricas ágeis ou outros modelos auditáveis e reconhecidos. </w:t>
      </w:r>
      <w:r w:rsidRPr="00450823">
        <w:rPr>
          <w:rFonts w:asciiTheme="minorHAnsi" w:hAnsiTheme="minorHAnsi" w:cstheme="minorHAnsi"/>
          <w:b/>
          <w:bCs/>
          <w:color w:val="242424"/>
        </w:rPr>
        <w:t>A comprovação deve demonstrar a adequação dos métodos ao setor público, assegurando que a entrega foi realizada com sucesso. </w:t>
      </w:r>
      <w:r w:rsidRPr="00450823">
        <w:rPr>
          <w:rFonts w:asciiTheme="minorHAnsi" w:hAnsiTheme="minorHAnsi" w:cstheme="minorHAnsi"/>
          <w:b/>
          <w:bCs/>
          <w:i/>
          <w:iCs/>
          <w:color w:val="242424"/>
        </w:rPr>
        <w:t>Grifo nosso</w:t>
      </w:r>
    </w:p>
    <w:p w14:paraId="2C5D79CD" w14:textId="0B3FABA8" w:rsidR="00450823" w:rsidRPr="00450823" w:rsidRDefault="00450823" w:rsidP="009805F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450823">
        <w:rPr>
          <w:rFonts w:asciiTheme="minorHAnsi" w:hAnsiTheme="minorHAnsi" w:cstheme="minorHAnsi"/>
          <w:color w:val="242424"/>
        </w:rPr>
        <w:t>Em, 24/03/2026</w:t>
      </w:r>
    </w:p>
    <w:p w14:paraId="6175E348" w14:textId="77777777" w:rsidR="00450823" w:rsidRPr="00450823" w:rsidRDefault="00450823" w:rsidP="009805F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</w:p>
    <w:p w14:paraId="68EF61C8" w14:textId="77777777" w:rsidR="00450823" w:rsidRPr="00450823" w:rsidRDefault="00450823" w:rsidP="009805F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</w:p>
    <w:p w14:paraId="53EB7B7A" w14:textId="0CBF6CC8" w:rsidR="00450823" w:rsidRPr="00450823" w:rsidRDefault="00450823" w:rsidP="009805F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42424"/>
        </w:rPr>
      </w:pPr>
      <w:r w:rsidRPr="00450823">
        <w:rPr>
          <w:rFonts w:asciiTheme="minorHAnsi" w:hAnsiTheme="minorHAnsi" w:cstheme="minorHAnsi"/>
          <w:b/>
          <w:bCs/>
          <w:color w:val="242424"/>
        </w:rPr>
        <w:t>Secretaria Executiva</w:t>
      </w:r>
    </w:p>
    <w:p w14:paraId="1A8ABC41" w14:textId="77777777" w:rsidR="00450823" w:rsidRPr="00450823" w:rsidRDefault="00450823" w:rsidP="009805F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</w:p>
    <w:p w14:paraId="625D0273" w14:textId="77777777" w:rsidR="00497D32" w:rsidRPr="009805F1" w:rsidRDefault="00497D32" w:rsidP="009805F1">
      <w:pPr>
        <w:jc w:val="both"/>
        <w:rPr>
          <w:rFonts w:ascii="Aptos" w:hAnsi="Aptos"/>
          <w:sz w:val="20"/>
          <w:szCs w:val="20"/>
        </w:rPr>
      </w:pPr>
    </w:p>
    <w:sectPr w:rsidR="00497D32" w:rsidRPr="00980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6D76"/>
    <w:multiLevelType w:val="multilevel"/>
    <w:tmpl w:val="20C6C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F86421"/>
    <w:multiLevelType w:val="multilevel"/>
    <w:tmpl w:val="424E1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FA4A09"/>
    <w:multiLevelType w:val="multilevel"/>
    <w:tmpl w:val="F24020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3E6CCA"/>
    <w:multiLevelType w:val="multilevel"/>
    <w:tmpl w:val="C23E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005043">
    <w:abstractNumId w:val="3"/>
  </w:num>
  <w:num w:numId="2" w16cid:durableId="1986423630">
    <w:abstractNumId w:val="0"/>
  </w:num>
  <w:num w:numId="3" w16cid:durableId="684794716">
    <w:abstractNumId w:val="2"/>
  </w:num>
  <w:num w:numId="4" w16cid:durableId="786780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BE"/>
    <w:rsid w:val="00017DBE"/>
    <w:rsid w:val="000800BF"/>
    <w:rsid w:val="001C5452"/>
    <w:rsid w:val="002F0049"/>
    <w:rsid w:val="003F7553"/>
    <w:rsid w:val="00450823"/>
    <w:rsid w:val="00497D32"/>
    <w:rsid w:val="00690C1F"/>
    <w:rsid w:val="007544AB"/>
    <w:rsid w:val="0077691E"/>
    <w:rsid w:val="008662E7"/>
    <w:rsid w:val="009805F1"/>
    <w:rsid w:val="009C087C"/>
    <w:rsid w:val="00B46324"/>
    <w:rsid w:val="00B5621B"/>
    <w:rsid w:val="00BA6157"/>
    <w:rsid w:val="00D02D1B"/>
    <w:rsid w:val="00D35463"/>
    <w:rsid w:val="00D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D709"/>
  <w15:chartTrackingRefBased/>
  <w15:docId w15:val="{7C876A51-C62B-4756-8C81-EF54E4D8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7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7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7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7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7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7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7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7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7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7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7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7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7D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7DB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7D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7D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7D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7D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7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7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7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7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7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7D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7D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7DB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7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7DB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7DB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97D32"/>
    <w:rPr>
      <w:b/>
      <w:bCs/>
    </w:rPr>
  </w:style>
  <w:style w:type="character" w:styleId="nfase">
    <w:name w:val="Emphasis"/>
    <w:basedOn w:val="Fontepargpadro"/>
    <w:uiPriority w:val="20"/>
    <w:qFormat/>
    <w:rsid w:val="00497D32"/>
    <w:rPr>
      <w:i/>
      <w:iCs/>
    </w:rPr>
  </w:style>
  <w:style w:type="paragraph" w:styleId="SemEspaamento">
    <w:name w:val="No Spacing"/>
    <w:uiPriority w:val="1"/>
    <w:qFormat/>
    <w:rsid w:val="00D02D1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45082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0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jur.com.br/2024-jan-15/prova-de-conceito-em-licitacoes-do-teorico-ao-factive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1391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Concyr Formiga</dc:creator>
  <cp:keywords/>
  <dc:description/>
  <cp:lastModifiedBy>Yolanda Gabrielle Santana Ferreira</cp:lastModifiedBy>
  <cp:revision>3</cp:revision>
  <cp:lastPrinted>2025-10-27T14:31:00Z</cp:lastPrinted>
  <dcterms:created xsi:type="dcterms:W3CDTF">2026-03-25T15:46:00Z</dcterms:created>
  <dcterms:modified xsi:type="dcterms:W3CDTF">2026-03-25T15:58:00Z</dcterms:modified>
</cp:coreProperties>
</file>